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Pre-Tournament Operational Checklist</w:t>
      </w:r>
    </w:p>
    <w:p>
      <w:pPr>
        <w:pStyle w:val="Subtitle"/>
        <w:jc w:val="center"/>
      </w:pPr>
      <w:r>
        <w:t>Tirupur District Chess Association (TDCA)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BD5DF"/>
          <w:left w:val="single" w:sz="6" w:color="CBD5DF"/>
          <w:bottom w:val="single" w:sz="6" w:color="CBD5DF"/>
          <w:right w:val="single" w:sz="6" w:color="CBD5DF"/>
          <w:insideH w:val="single" w:sz="6" w:color="CBD5DF"/>
          <w:insideV w:val="single" w:sz="6" w:color="CBD5DF"/>
        </w:tblBorders>
      </w:tblPr>
      <w:tblGrid>
        <w:gridCol w:w="4997"/>
        <w:gridCol w:w="4997"/>
      </w:tblGrid>
      <w:tr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shd w:fill="EAF2F7"/>
            <w:vAlign w:val="center"/>
          </w:tcPr>
          <w:p>
            <w:r>
              <w:rPr>
                <w:rFonts w:ascii="Aptos" w:hAnsi="Aptos"/>
                <w:b/>
                <w:i w:val="0"/>
                <w:color w:val="163A5F"/>
                <w:sz w:val="18"/>
              </w:rPr>
              <w:t>Document code</w:t>
            </w:r>
          </w:p>
        </w:tc>
        <w:tc>
          <w:tcPr>
            <w:tcW w:type="dxa" w:w="73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TDCA-OC-05</w:t>
            </w:r>
          </w:p>
        </w:tc>
      </w:tr>
      <w:tr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shd w:fill="EAF2F7"/>
            <w:vAlign w:val="center"/>
          </w:tcPr>
          <w:p>
            <w:r>
              <w:rPr>
                <w:rFonts w:ascii="Aptos" w:hAnsi="Aptos"/>
                <w:b/>
                <w:i w:val="0"/>
                <w:color w:val="163A5F"/>
                <w:sz w:val="18"/>
              </w:rPr>
              <w:t>Effective date</w:t>
            </w:r>
          </w:p>
        </w:tc>
        <w:tc>
          <w:tcPr>
            <w:tcW w:type="dxa" w:w="73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  <w:t>1 September 2026</w:t>
            </w:r>
          </w:p>
        </w:tc>
      </w:tr>
    </w:tbl>
    <w:p/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A8C2D3"/>
          <w:left w:val="single" w:sz="6" w:color="A8C2D3"/>
          <w:bottom w:val="single" w:sz="6" w:color="A8C2D3"/>
          <w:right w:val="single" w:sz="6" w:color="A8C2D3"/>
          <w:insideH w:val="single" w:sz="6" w:color="A8C2D3"/>
          <w:insideV w:val="single" w:sz="6" w:color="A8C2D3"/>
        </w:tblBorders>
      </w:tblPr>
      <w:tblGrid>
        <w:gridCol w:w="9576"/>
      </w:tblGrid>
      <w:tr>
        <w:tc>
          <w:tcPr>
            <w:tcW w:type="dxa" w:w="9994"/>
            <w:shd w:fill="EAF2F7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rFonts w:ascii="Aptos" w:hAnsi="Aptos"/>
                <w:b/>
                <w:i w:val="0"/>
                <w:color w:val="163A5F"/>
                <w:sz w:val="20"/>
              </w:rPr>
              <w:t xml:space="preserve">How to use  </w:t>
            </w:r>
            <w:r>
              <w:rPr>
                <w:rFonts w:ascii="Aptos" w:hAnsi="Aptos"/>
                <w:b w:val="0"/>
                <w:i w:val="0"/>
                <w:color w:val="17212B"/>
                <w:sz w:val="20"/>
              </w:rPr>
              <w:t>Complete this checklist before the event begins and keep it with the organising team for operational use. It does not need to be submitted to TDCA unless specifically requested.</w:t>
            </w:r>
          </w:p>
        </w:tc>
      </w:tr>
    </w:tbl>
    <w:p>
      <w:pPr>
        <w:spacing w:after="20"/>
      </w:pPr>
    </w:p>
    <w:p>
      <w:pPr>
        <w:pStyle w:val="Heading1"/>
      </w:pPr>
      <w:r>
        <w:t>A. Approvals and communication</w:t>
      </w:r>
    </w:p>
    <w:p>
      <w:pPr>
        <w:spacing w:after="50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20"/>
        </w:rPr>
        <w:t>Written TDCA approval received</w:t>
      </w:r>
    </w:p>
    <w:p>
      <w:pPr>
        <w:spacing w:after="50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20"/>
        </w:rPr>
        <w:t>Only the approved prospectus is being circulated</w:t>
      </w:r>
    </w:p>
    <w:p>
      <w:pPr>
        <w:spacing w:after="50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20"/>
        </w:rPr>
        <w:t>Chief Arbiter confirmed and latest event details shared</w:t>
      </w:r>
    </w:p>
    <w:p>
      <w:pPr>
        <w:spacing w:after="50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20"/>
        </w:rPr>
        <w:t>Player list and contact for entry corrections published</w:t>
      </w:r>
    </w:p>
    <w:p>
      <w:pPr>
        <w:spacing w:after="50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20"/>
        </w:rPr>
        <w:t>Chess-Results event and category pages ready</w:t>
      </w:r>
    </w:p>
    <w:p>
      <w:pPr>
        <w:spacing w:after="50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20"/>
        </w:rPr>
        <w:t>Reporting time, venue map and important instructions communicated</w:t>
      </w:r>
    </w:p>
    <w:p>
      <w:pPr>
        <w:pStyle w:val="Heading1"/>
      </w:pPr>
      <w:r>
        <w:t>B. Playing arrangements</w:t>
      </w:r>
    </w:p>
    <w:p>
      <w:pPr>
        <w:spacing w:after="50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20"/>
        </w:rPr>
        <w:t>Tables, chairs, boards, sets and clocks counted and tested</w:t>
      </w:r>
    </w:p>
    <w:p>
      <w:pPr>
        <w:spacing w:after="50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20"/>
        </w:rPr>
        <w:t>Pairing and results display area identified</w:t>
      </w:r>
    </w:p>
    <w:p>
      <w:pPr>
        <w:spacing w:after="50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20"/>
        </w:rPr>
        <w:t>Public-address or announcement method tested</w:t>
      </w:r>
    </w:p>
    <w:p>
      <w:pPr>
        <w:spacing w:after="50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20"/>
        </w:rPr>
        <w:t>Scoresheets, pens and other stationery ready where required</w:t>
      </w:r>
    </w:p>
    <w:p>
      <w:pPr>
        <w:spacing w:after="50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20"/>
        </w:rPr>
        <w:t>Power supply, lighting and ventilation checked</w:t>
      </w:r>
    </w:p>
    <w:p>
      <w:pPr>
        <w:spacing w:after="50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20"/>
        </w:rPr>
        <w:t>Round timetable, breaks and prize-distribution plan confirmed</w:t>
      </w:r>
    </w:p>
    <w:p>
      <w:pPr>
        <w:pStyle w:val="Heading1"/>
      </w:pPr>
      <w:r>
        <w:t>C. Players and officials</w:t>
      </w:r>
    </w:p>
    <w:p>
      <w:pPr>
        <w:spacing w:after="50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20"/>
        </w:rPr>
        <w:t>Chief Arbiter has the TDCA registration-verification method or player list</w:t>
      </w:r>
    </w:p>
    <w:p>
      <w:pPr>
        <w:spacing w:after="50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20"/>
        </w:rPr>
        <w:t>Entry list, payment records and category details reconciled</w:t>
      </w:r>
    </w:p>
    <w:p>
      <w:pPr>
        <w:spacing w:after="50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20"/>
        </w:rPr>
        <w:t>Arbiter team and volunteer duties assigned</w:t>
      </w:r>
    </w:p>
    <w:p>
      <w:pPr>
        <w:spacing w:after="50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20"/>
        </w:rPr>
        <w:t>Registration/help desk and responsible contacts identified</w:t>
      </w:r>
    </w:p>
    <w:p>
      <w:pPr>
        <w:spacing w:after="50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20"/>
        </w:rPr>
        <w:t>Procedure for late arrivals, withdrawals and entry corrections confirmed</w:t>
      </w:r>
    </w:p>
    <w:p>
      <w:pPr>
        <w:pStyle w:val="Heading1"/>
      </w:pPr>
      <w:r>
        <w:t>D. Venue and welfare</w:t>
      </w:r>
    </w:p>
    <w:p>
      <w:pPr>
        <w:spacing w:after="50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20"/>
        </w:rPr>
        <w:t>Drinking water and clean restrooms available</w:t>
      </w:r>
    </w:p>
    <w:p>
      <w:pPr>
        <w:spacing w:after="50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20"/>
        </w:rPr>
        <w:t>Parent/accompanying-person waiting area arranged</w:t>
      </w:r>
    </w:p>
    <w:p>
      <w:pPr>
        <w:spacing w:after="50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20"/>
        </w:rPr>
        <w:t>First-aid kit and emergency contacts available</w:t>
      </w:r>
    </w:p>
    <w:p>
      <w:pPr>
        <w:spacing w:after="50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20"/>
        </w:rPr>
        <w:t>Food/lunch arrangements and parking guidance confirmed</w:t>
      </w:r>
    </w:p>
    <w:p>
      <w:pPr>
        <w:spacing w:after="50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20"/>
        </w:rPr>
        <w:t>Safe movement, access and crowd flow checked</w:t>
      </w:r>
    </w:p>
    <w:p>
      <w:pPr>
        <w:pStyle w:val="Heading1"/>
      </w:pPr>
      <w:r>
        <w:t>E. Prizes and closing</w:t>
      </w:r>
    </w:p>
    <w:p>
      <w:pPr>
        <w:spacing w:after="50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20"/>
        </w:rPr>
        <w:t>Prize list, trophies, medals and cash amounts cross-checked</w:t>
      </w:r>
    </w:p>
    <w:p>
      <w:pPr>
        <w:spacing w:after="50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20"/>
        </w:rPr>
        <w:t>Final-ranking and prize-eligibility verification procedure agreed with Chief Arbiter</w:t>
      </w:r>
    </w:p>
    <w:p>
      <w:pPr>
        <w:spacing w:after="50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20"/>
        </w:rPr>
        <w:t>Prize recipients, announcements and presentation order planned</w:t>
      </w:r>
    </w:p>
    <w:p>
      <w:pPr>
        <w:spacing w:after="50"/>
        <w:ind w:left="144"/>
      </w:pPr>
      <w:r>
        <w:rPr>
          <w:rFonts w:ascii="Aptos" w:hAnsi="Aptos"/>
          <w:b w:val="0"/>
          <w:i w:val="0"/>
          <w:color w:val="163A5F"/>
          <w:sz w:val="23"/>
        </w:rPr>
        <w:t xml:space="preserve">☐  </w:t>
      </w:r>
      <w:r>
        <w:rPr>
          <w:rFonts w:ascii="Aptos" w:hAnsi="Aptos"/>
          <w:b w:val="0"/>
          <w:i w:val="0"/>
          <w:color w:val="17212B"/>
          <w:sz w:val="20"/>
        </w:rPr>
        <w:t>Photographs and post-tournament records assigned to a responsible person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BD5DF"/>
          <w:left w:val="single" w:sz="6" w:color="CBD5DF"/>
          <w:bottom w:val="single" w:sz="6" w:color="CBD5DF"/>
          <w:right w:val="single" w:sz="6" w:color="CBD5DF"/>
          <w:insideH w:val="single" w:sz="6" w:color="CBD5DF"/>
          <w:insideV w:val="single" w:sz="6" w:color="CBD5DF"/>
        </w:tblBorders>
      </w:tblPr>
      <w:tblGrid>
        <w:gridCol w:w="4997"/>
        <w:gridCol w:w="4997"/>
      </w:tblGrid>
      <w:tr>
        <w:tc>
          <w:tcPr>
            <w:tcW w:type="dxa" w:w="3096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  <w:shd w:fill="F4F6F8"/>
          </w:tcPr>
          <w:p>
            <w:r>
              <w:rPr>
                <w:rFonts w:ascii="Aptos" w:hAnsi="Aptos"/>
                <w:b/>
                <w:i w:val="0"/>
                <w:color w:val="163A5F"/>
                <w:sz w:val="18"/>
              </w:rPr>
              <w:t>Checked by</w:t>
            </w:r>
          </w:p>
        </w:tc>
        <w:tc>
          <w:tcPr>
            <w:tcW w:type="dxa" w:w="6480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</w:r>
          </w:p>
        </w:tc>
      </w:tr>
      <w:tr>
        <w:tc>
          <w:tcPr>
            <w:tcW w:type="dxa" w:w="3096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  <w:shd w:fill="F4F6F8"/>
          </w:tcPr>
          <w:p>
            <w:r>
              <w:rPr>
                <w:rFonts w:ascii="Aptos" w:hAnsi="Aptos"/>
                <w:b/>
                <w:i w:val="0"/>
                <w:color w:val="163A5F"/>
                <w:sz w:val="18"/>
              </w:rPr>
              <w:t>Date and time</w:t>
            </w:r>
          </w:p>
        </w:tc>
        <w:tc>
          <w:tcPr>
            <w:tcW w:type="dxa" w:w="6480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</w:r>
          </w:p>
        </w:tc>
      </w:tr>
      <w:tr>
        <w:tc>
          <w:tcPr>
            <w:tcW w:type="dxa" w:w="3096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  <w:shd w:fill="F4F6F8"/>
          </w:tcPr>
          <w:p>
            <w:r>
              <w:rPr>
                <w:rFonts w:ascii="Aptos" w:hAnsi="Aptos"/>
                <w:b/>
                <w:i w:val="0"/>
                <w:color w:val="163A5F"/>
                <w:sz w:val="18"/>
              </w:rPr>
              <w:t>Outstanding action / responsible person</w:t>
            </w:r>
          </w:p>
        </w:tc>
        <w:tc>
          <w:tcPr>
            <w:tcW w:type="dxa" w:w="6480"/>
            <w:tcMar>
              <w:top w:w="105" w:type="dxa"/>
              <w:start w:w="120" w:type="dxa"/>
              <w:bottom w:w="105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212B"/>
                <w:sz w:val="18"/>
              </w:rPr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979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5B6570"/>
        <w:sz w:val="16"/>
      </w:rPr>
      <w:t>TDCA-OC-05  •  tirupurdistrictchess@gmail.com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ptos" w:hAnsi="Aptos"/>
        <w:b/>
        <w:i w:val="0"/>
        <w:color w:val="163A5F"/>
        <w:sz w:val="18"/>
      </w:rPr>
      <w:t>TIRUPUR DISTRICT CHESS ASSOCIATION</w:t>
    </w:r>
    <w:r>
      <w:rPr>
        <w:rFonts w:ascii="Aptos" w:hAnsi="Aptos"/>
        <w:b w:val="0"/>
        <w:i w:val="0"/>
        <w:color w:val="5B6570"/>
        <w:sz w:val="16"/>
      </w:rPr>
      <w:t xml:space="preserve">   |   Affiliated to Tamil Nadu State Chess Association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Aptos" w:hAnsi="Aptos"/>
      <w:color w:val="1721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ptos" w:hAnsi="Aptos"/>
      <w:b/>
      <w:bCs/>
      <w:color w:val="163A5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2F6B8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ptos" w:hAnsi="Aptos"/>
      <w:b/>
      <w:bCs/>
      <w:color w:val="163A5F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ptos" w:hAnsi="Aptos"/>
      <w:b/>
      <w:color w:val="163A5F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Aptos" w:hAnsi="Aptos"/>
      <w:b w:val="0"/>
      <w:i/>
      <w:iCs/>
      <w:color w:val="5B657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