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Tournament Prospectus Checklist</w:t>
      </w:r>
    </w:p>
    <w:p>
      <w:pPr>
        <w:pStyle w:val="Subtitle"/>
        <w:jc w:val="center"/>
      </w:pPr>
      <w:r>
        <w:t>Tirupur District Chess Association (TDCA)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BD5DF"/>
          <w:left w:val="single" w:sz="6" w:color="CBD5DF"/>
          <w:bottom w:val="single" w:sz="6" w:color="CBD5DF"/>
          <w:right w:val="single" w:sz="6" w:color="CBD5DF"/>
          <w:insideH w:val="single" w:sz="6" w:color="CBD5DF"/>
          <w:insideV w:val="single" w:sz="6" w:color="CBD5DF"/>
        </w:tblBorders>
      </w:tblPr>
      <w:tblGrid>
        <w:gridCol w:w="4997"/>
        <w:gridCol w:w="4997"/>
      </w:tblGrid>
      <w:tr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shd w:fill="EAF2F7"/>
            <w:vAlign w:val="center"/>
          </w:tcPr>
          <w:p>
            <w:r>
              <w:rPr>
                <w:rFonts w:ascii="Aptos" w:hAnsi="Aptos"/>
                <w:b/>
                <w:i w:val="0"/>
                <w:color w:val="163A5F"/>
                <w:sz w:val="18"/>
              </w:rPr>
              <w:t>Document code</w:t>
            </w:r>
          </w:p>
        </w:tc>
        <w:tc>
          <w:tcPr>
            <w:tcW w:type="dxa" w:w="73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TDCA-PC-03</w:t>
            </w:r>
          </w:p>
        </w:tc>
      </w:tr>
      <w:tr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shd w:fill="EAF2F7"/>
            <w:vAlign w:val="center"/>
          </w:tcPr>
          <w:p>
            <w:r>
              <w:rPr>
                <w:rFonts w:ascii="Aptos" w:hAnsi="Aptos"/>
                <w:b/>
                <w:i w:val="0"/>
                <w:color w:val="163A5F"/>
                <w:sz w:val="18"/>
              </w:rPr>
              <w:t>Effective date</w:t>
            </w:r>
          </w:p>
        </w:tc>
        <w:tc>
          <w:tcPr>
            <w:tcW w:type="dxa" w:w="73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1 September 2026</w:t>
            </w:r>
          </w:p>
        </w:tc>
      </w:tr>
    </w:tbl>
    <w:p/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A8C2D3"/>
          <w:left w:val="single" w:sz="6" w:color="A8C2D3"/>
          <w:bottom w:val="single" w:sz="6" w:color="A8C2D3"/>
          <w:right w:val="single" w:sz="6" w:color="A8C2D3"/>
          <w:insideH w:val="single" w:sz="6" w:color="A8C2D3"/>
          <w:insideV w:val="single" w:sz="6" w:color="A8C2D3"/>
        </w:tblBorders>
      </w:tblPr>
      <w:tblGrid>
        <w:gridCol w:w="9576"/>
      </w:tblGrid>
      <w:tr>
        <w:tc>
          <w:tcPr>
            <w:tcW w:type="dxa" w:w="9994"/>
            <w:shd w:fill="EAF2F7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rFonts w:ascii="Aptos" w:hAnsi="Aptos"/>
                <w:b/>
                <w:i w:val="0"/>
                <w:color w:val="163A5F"/>
                <w:sz w:val="20"/>
              </w:rPr>
              <w:t xml:space="preserve">Use  </w:t>
            </w:r>
            <w:r>
              <w:rPr>
                <w:rFonts w:ascii="Aptos" w:hAnsi="Aptos"/>
                <w:b w:val="0"/>
                <w:i w:val="0"/>
                <w:color w:val="17212B"/>
                <w:sz w:val="20"/>
              </w:rPr>
              <w:t>The organiser completes this checklist with the draft prospectus. TDCA uses it during review. “N/A” should be used only when an item genuinely does not apply.</w:t>
            </w:r>
          </w:p>
        </w:tc>
      </w:tr>
    </w:tbl>
    <w:p>
      <w:pPr>
        <w:spacing w:after="2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BD5DF"/>
          <w:left w:val="single" w:sz="6" w:color="CBD5DF"/>
          <w:bottom w:val="single" w:sz="6" w:color="CBD5DF"/>
          <w:right w:val="single" w:sz="6" w:color="CBD5DF"/>
          <w:insideH w:val="single" w:sz="6" w:color="CBD5DF"/>
          <w:insideV w:val="single" w:sz="6" w:color="CBD5DF"/>
        </w:tblBorders>
      </w:tblPr>
      <w:tblGrid>
        <w:gridCol w:w="4997"/>
        <w:gridCol w:w="4997"/>
      </w:tblGrid>
      <w:tr>
        <w:tc>
          <w:tcPr>
            <w:tcW w:type="dxa" w:w="3096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  <w:shd w:fill="F4F6F8"/>
          </w:tcPr>
          <w:p>
            <w:r>
              <w:rPr>
                <w:rFonts w:ascii="Aptos" w:hAnsi="Aptos"/>
                <w:b/>
                <w:i w:val="0"/>
                <w:color w:val="163A5F"/>
                <w:sz w:val="18"/>
              </w:rPr>
              <w:t>Tournament name</w:t>
            </w:r>
          </w:p>
        </w:tc>
        <w:tc>
          <w:tcPr>
            <w:tcW w:type="dxa" w:w="6480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</w:r>
          </w:p>
        </w:tc>
      </w:tr>
      <w:tr>
        <w:tc>
          <w:tcPr>
            <w:tcW w:type="dxa" w:w="3096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  <w:shd w:fill="F4F6F8"/>
          </w:tcPr>
          <w:p>
            <w:r>
              <w:rPr>
                <w:rFonts w:ascii="Aptos" w:hAnsi="Aptos"/>
                <w:b/>
                <w:i w:val="0"/>
                <w:color w:val="163A5F"/>
                <w:sz w:val="18"/>
              </w:rPr>
              <w:t>Organiser</w:t>
            </w:r>
          </w:p>
        </w:tc>
        <w:tc>
          <w:tcPr>
            <w:tcW w:type="dxa" w:w="6480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</w:r>
          </w:p>
        </w:tc>
      </w:tr>
      <w:tr>
        <w:tc>
          <w:tcPr>
            <w:tcW w:type="dxa" w:w="3096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  <w:shd w:fill="F4F6F8"/>
          </w:tcPr>
          <w:p>
            <w:r>
              <w:rPr>
                <w:rFonts w:ascii="Aptos" w:hAnsi="Aptos"/>
                <w:b/>
                <w:i w:val="0"/>
                <w:color w:val="163A5F"/>
                <w:sz w:val="18"/>
              </w:rPr>
              <w:t>Proposed date</w:t>
            </w:r>
          </w:p>
        </w:tc>
        <w:tc>
          <w:tcPr>
            <w:tcW w:type="dxa" w:w="6480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</w:r>
          </w:p>
        </w:tc>
      </w:tr>
      <w:tr>
        <w:tc>
          <w:tcPr>
            <w:tcW w:type="dxa" w:w="3096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  <w:shd w:fill="F4F6F8"/>
          </w:tcPr>
          <w:p>
            <w:r>
              <w:rPr>
                <w:rFonts w:ascii="Aptos" w:hAnsi="Aptos"/>
                <w:b/>
                <w:i w:val="0"/>
                <w:color w:val="163A5F"/>
                <w:sz w:val="18"/>
              </w:rPr>
              <w:t>TDCA approval number</w:t>
            </w:r>
          </w:p>
        </w:tc>
        <w:tc>
          <w:tcPr>
            <w:tcW w:type="dxa" w:w="6480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</w:r>
          </w:p>
        </w:tc>
      </w:tr>
      <w:tr>
        <w:tc>
          <w:tcPr>
            <w:tcW w:type="dxa" w:w="3096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  <w:shd w:fill="F4F6F8"/>
          </w:tcPr>
          <w:p>
            <w:r>
              <w:rPr>
                <w:rFonts w:ascii="Aptos" w:hAnsi="Aptos"/>
                <w:b/>
                <w:i w:val="0"/>
                <w:color w:val="163A5F"/>
                <w:sz w:val="18"/>
              </w:rPr>
              <w:t>Prospectus version / date</w:t>
            </w:r>
          </w:p>
        </w:tc>
        <w:tc>
          <w:tcPr>
            <w:tcW w:type="dxa" w:w="6480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</w:r>
          </w:p>
        </w:tc>
      </w:tr>
    </w:tbl>
    <w:p>
      <w:pPr>
        <w:spacing w:after="20"/>
      </w:pPr>
    </w:p>
    <w:p>
      <w:pPr>
        <w:pStyle w:val="Heading1"/>
      </w:pPr>
      <w:r>
        <w:t>1. Identity and approval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Correct tournament name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Organiser name and contact details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Correct tournament classification: district-level, state-level, championship/selection, FIDE-rated or practice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Time-control classification: standard/classical, rapid or blitz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TDCA approval wording and approval number (inserted only after approval)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TDCA logo used only in the approved manner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Other association or federation approval details, where applicable     ☐ Yes   ☐ No   ☐ N/A</w:t>
      </w:r>
    </w:p>
    <w:p>
      <w:pPr>
        <w:pStyle w:val="Heading1"/>
      </w:pPr>
      <w:r>
        <w:t>2. Date, venue and schedule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Tournament date(s)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Full venue name and address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Map link or clear location guidance, where useful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Reporting time and scheduled start time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Proposed rounds and timetable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Lunch / food arrangements or a clear statement that participants should make their own arrangements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Expected closing / prize-distribution time, if reasonably estimable     ☐ Yes   ☐ No   ☐ N/A</w:t>
      </w:r>
    </w:p>
    <w:p>
      <w:pPr>
        <w:pStyle w:val="Heading1"/>
      </w:pPr>
      <w:r>
        <w:t>3. Eligibility and categories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Who may participate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Age categories and applicable cut-off date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Open / girls / women / rating / special categories clearly defined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District registration or other registration requirement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Documents or proof required, stated narrowly and clearly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Selection or championship purpose and exact applicable conditions, if relevant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Maximum entries and admission rule, if capped     ☐ Yes   ☐ No   ☐ N/A</w:t>
      </w:r>
    </w:p>
    <w:p>
      <w:pPr>
        <w:pStyle w:val="Heading1"/>
      </w:pPr>
      <w:r>
        <w:t>4. Entry process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Entry fee for every category / event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Registration link or method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Last date and late-entry rule, if any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Payment instructions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Entry confirmation method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Withdrawal and refund conditions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Contact for entry corrections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Published player-list / Chess-Results link when available     ☐ Yes   ☐ No   ☐ N/A</w:t>
      </w:r>
    </w:p>
    <w:p>
      <w:pPr>
        <w:pStyle w:val="Heading1"/>
      </w:pPr>
      <w:r>
        <w:t>5. Technical regulations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Playing system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Exact time control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Number of rounds or method for deciding rounds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Applicable Laws of Chess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Tie-break order prepared in consultation with the Chief Arbiter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Default / late-arrival rule, if applicable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Chief Arbiter name and confirmation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Appeals procedure, only where applicable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Mandatory publication through Chess-Results     ☐ Yes   ☐ No   ☐ N/A</w:t>
      </w:r>
    </w:p>
    <w:p>
      <w:pPr>
        <w:pStyle w:val="Heading1"/>
      </w:pPr>
      <w:r>
        <w:t>6. Prizes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Overall prizes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Category prizes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Cash / trophy / medal values stated accurately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Rule on eligibility for more than one prize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Rule for sharing or tie-based prizes, if applicable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Prize-distribution conditions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Any special prize eligibility clearly defined     ☐ Yes   ☐ No   ☐ N/A</w:t>
      </w:r>
    </w:p>
    <w:p>
      <w:pPr>
        <w:pStyle w:val="Heading1"/>
      </w:pPr>
      <w:r>
        <w:t>7. Practical information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Whether players must bring boards, clocks, scoresheets or pens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Parent / accompanying-person access and waiting arrangements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Parking or transport guidance, where needed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Food, water and restroom information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Device restrictions and playing-hall discipline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Organiser contact for tournament-specific questions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Statement that tournament-specific arrangements are governed by the approved prospectus     ☐ Yes   ☐ No   ☐ N/A</w:t>
      </w:r>
    </w:p>
    <w:p>
      <w:pPr>
        <w:pStyle w:val="Heading1"/>
      </w:pPr>
      <w:r>
        <w:t>8. Final verification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Dates, fees, categories and prize totals cross-checked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All links tested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Names and phone numbers verified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No unapproved claim of TDCA/TNSCA/AICF/FIDE status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No contradictory wording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Final file submitted to TDCA before publication     ☐ Yes   ☐ No   ☐ N/A</w:t>
      </w:r>
    </w:p>
    <w:p>
      <w:pPr>
        <w:spacing w:after="0" w:line="240" w:lineRule="auto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19"/>
        </w:rPr>
        <w:t>Written TDCA approval received before circulation     ☐ Yes   ☐ No   ☐ N/A</w:t>
      </w:r>
    </w:p>
    <w:p>
      <w:pPr>
        <w:pStyle w:val="Heading1"/>
      </w:pPr>
      <w:r>
        <w:t>Review record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BD5DF"/>
          <w:left w:val="single" w:sz="6" w:color="CBD5DF"/>
          <w:bottom w:val="single" w:sz="6" w:color="CBD5DF"/>
          <w:right w:val="single" w:sz="6" w:color="CBD5DF"/>
          <w:insideH w:val="single" w:sz="6" w:color="CBD5DF"/>
          <w:insideV w:val="single" w:sz="6" w:color="CBD5DF"/>
        </w:tblBorders>
      </w:tblPr>
      <w:tblGrid>
        <w:gridCol w:w="4997"/>
        <w:gridCol w:w="4997"/>
      </w:tblGrid>
      <w:tr>
        <w:tc>
          <w:tcPr>
            <w:tcW w:type="dxa" w:w="3096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  <w:shd w:fill="F4F6F8"/>
          </w:tcPr>
          <w:p>
            <w:pPr>
              <w:keepNext/>
            </w:pPr>
            <w:r>
              <w:rPr>
                <w:rFonts w:ascii="Aptos" w:hAnsi="Aptos"/>
                <w:b/>
                <w:i w:val="0"/>
                <w:color w:val="163A5F"/>
                <w:sz w:val="18"/>
              </w:rPr>
              <w:t>Organiser review completed by</w:t>
            </w:r>
          </w:p>
        </w:tc>
        <w:tc>
          <w:tcPr>
            <w:tcW w:type="dxa" w:w="6480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</w:tcPr>
          <w:p>
            <w:pPr>
              <w:keepNext/>
            </w:pPr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 xml:space="preserve">  Date: </w:t>
            </w:r>
          </w:p>
        </w:tc>
      </w:tr>
      <w:tr>
        <w:tc>
          <w:tcPr>
            <w:tcW w:type="dxa" w:w="3096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  <w:shd w:fill="F4F6F8"/>
          </w:tcPr>
          <w:p>
            <w:pPr>
              <w:keepNext/>
            </w:pPr>
            <w:r>
              <w:rPr>
                <w:rFonts w:ascii="Aptos" w:hAnsi="Aptos"/>
                <w:b/>
                <w:i w:val="0"/>
                <w:color w:val="163A5F"/>
                <w:sz w:val="18"/>
              </w:rPr>
              <w:t>Chief Arbiter / technical review</w:t>
            </w:r>
          </w:p>
        </w:tc>
        <w:tc>
          <w:tcPr>
            <w:tcW w:type="dxa" w:w="6480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</w:tcPr>
          <w:p>
            <w:pPr>
              <w:keepNext/>
            </w:pPr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 xml:space="preserve">  Date: </w:t>
            </w:r>
          </w:p>
        </w:tc>
      </w:tr>
      <w:tr>
        <w:tc>
          <w:tcPr>
            <w:tcW w:type="dxa" w:w="3096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  <w:shd w:fill="F4F6F8"/>
          </w:tcPr>
          <w:p>
            <w:pPr>
              <w:keepNext/>
            </w:pPr>
            <w:r>
              <w:rPr>
                <w:rFonts w:ascii="Aptos" w:hAnsi="Aptos"/>
                <w:b/>
                <w:i w:val="0"/>
                <w:color w:val="163A5F"/>
                <w:sz w:val="18"/>
              </w:rPr>
              <w:t>TDCA review</w:t>
            </w:r>
          </w:p>
        </w:tc>
        <w:tc>
          <w:tcPr>
            <w:tcW w:type="dxa" w:w="6480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</w:tcPr>
          <w:p>
            <w:pPr>
              <w:keepNext/>
            </w:pPr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 xml:space="preserve">  Date: </w:t>
            </w:r>
          </w:p>
        </w:tc>
      </w:tr>
      <w:tr>
        <w:tc>
          <w:tcPr>
            <w:tcW w:type="dxa" w:w="3096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  <w:shd w:fill="F4F6F8"/>
          </w:tcPr>
          <w:p>
            <w:pPr>
              <w:keepNext/>
            </w:pPr>
            <w:r>
              <w:rPr>
                <w:rFonts w:ascii="Aptos" w:hAnsi="Aptos"/>
                <w:b/>
                <w:i w:val="0"/>
                <w:color w:val="163A5F"/>
                <w:sz w:val="18"/>
              </w:rPr>
              <w:t>Outcome</w:t>
            </w:r>
          </w:p>
        </w:tc>
        <w:tc>
          <w:tcPr>
            <w:tcW w:type="dxa" w:w="6480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</w:tcPr>
          <w:p>
            <w:pPr>
              <w:keepNext/>
            </w:pPr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☐ Approved for publication   ☐ Corrections required</w:t>
            </w:r>
          </w:p>
        </w:tc>
      </w:tr>
      <w:tr>
        <w:tc>
          <w:tcPr>
            <w:tcW w:type="dxa" w:w="3096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  <w:shd w:fill="F4F6F8"/>
          </w:tcPr>
          <w:p>
            <w:r>
              <w:rPr>
                <w:rFonts w:ascii="Aptos" w:hAnsi="Aptos"/>
                <w:b/>
                <w:i w:val="0"/>
                <w:color w:val="163A5F"/>
                <w:sz w:val="18"/>
              </w:rPr>
              <w:t>Remarks</w:t>
            </w:r>
          </w:p>
        </w:tc>
        <w:tc>
          <w:tcPr>
            <w:tcW w:type="dxa" w:w="6480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br/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979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5B6570"/>
        <w:sz w:val="16"/>
      </w:rPr>
      <w:t>TDCA-PC-03  •  tirupurdistrictchess@gmail.com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ptos" w:hAnsi="Aptos"/>
        <w:b/>
        <w:i w:val="0"/>
        <w:color w:val="163A5F"/>
        <w:sz w:val="18"/>
      </w:rPr>
      <w:t>TIRUPUR DISTRICT CHESS ASSOCIATION</w:t>
    </w:r>
    <w:r>
      <w:rPr>
        <w:rFonts w:ascii="Aptos" w:hAnsi="Aptos"/>
        <w:b w:val="0"/>
        <w:i w:val="0"/>
        <w:color w:val="5B6570"/>
        <w:sz w:val="16"/>
      </w:rPr>
      <w:t xml:space="preserve">   |   Affiliated to Tamil Nadu State Chess Association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Aptos" w:hAnsi="Aptos"/>
      <w:color w:val="1721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ptos" w:hAnsi="Aptos"/>
      <w:b/>
      <w:bCs/>
      <w:color w:val="163A5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2F6B8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ptos" w:hAnsi="Aptos"/>
      <w:b/>
      <w:bCs/>
      <w:color w:val="163A5F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ptos" w:hAnsi="Aptos"/>
      <w:b/>
      <w:color w:val="163A5F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Aptos" w:hAnsi="Aptos"/>
      <w:b w:val="0"/>
      <w:i/>
      <w:iCs/>
      <w:color w:val="5B657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